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B13210" w:rsidRPr="00B13210">
        <w:rPr>
          <w:rFonts w:ascii="Times New Roman" w:hAnsi="Times New Roman"/>
          <w:sz w:val="22"/>
          <w:szCs w:val="22"/>
        </w:rPr>
        <w:t xml:space="preserve">Contracting authority: Municipality of </w:t>
      </w:r>
      <w:proofErr w:type="spellStart"/>
      <w:r w:rsidR="00B13210" w:rsidRPr="00B13210">
        <w:rPr>
          <w:rFonts w:ascii="Times New Roman" w:hAnsi="Times New Roman"/>
          <w:sz w:val="22"/>
          <w:szCs w:val="22"/>
        </w:rPr>
        <w:t>Bojnik</w:t>
      </w:r>
      <w:proofErr w:type="spellEnd"/>
      <w:r w:rsidR="00B13210" w:rsidRPr="00B13210">
        <w:rPr>
          <w:rFonts w:ascii="Times New Roman" w:hAnsi="Times New Roman"/>
          <w:sz w:val="22"/>
          <w:szCs w:val="22"/>
        </w:rPr>
        <w:t xml:space="preserve">, </w:t>
      </w:r>
      <w:proofErr w:type="spellStart"/>
      <w:r w:rsidR="00B13210" w:rsidRPr="00B13210">
        <w:rPr>
          <w:rFonts w:ascii="Times New Roman" w:hAnsi="Times New Roman"/>
          <w:sz w:val="22"/>
          <w:szCs w:val="22"/>
        </w:rPr>
        <w:t>Trg</w:t>
      </w:r>
      <w:proofErr w:type="spellEnd"/>
      <w:r w:rsidR="00B13210" w:rsidRPr="00B13210">
        <w:rPr>
          <w:rFonts w:ascii="Times New Roman" w:hAnsi="Times New Roman"/>
          <w:sz w:val="22"/>
          <w:szCs w:val="22"/>
        </w:rPr>
        <w:t xml:space="preserve"> </w:t>
      </w:r>
      <w:proofErr w:type="spellStart"/>
      <w:r w:rsidR="00B13210" w:rsidRPr="00B13210">
        <w:rPr>
          <w:rFonts w:ascii="Times New Roman" w:hAnsi="Times New Roman"/>
          <w:sz w:val="22"/>
          <w:szCs w:val="22"/>
        </w:rPr>
        <w:t>slobode</w:t>
      </w:r>
      <w:proofErr w:type="spellEnd"/>
      <w:r w:rsidR="00B13210" w:rsidRPr="00B13210">
        <w:rPr>
          <w:rFonts w:ascii="Times New Roman" w:hAnsi="Times New Roman"/>
          <w:sz w:val="22"/>
          <w:szCs w:val="22"/>
        </w:rPr>
        <w:t xml:space="preserve"> 2-4, 16205 </w:t>
      </w:r>
      <w:proofErr w:type="spellStart"/>
      <w:r w:rsidR="00B13210" w:rsidRPr="00B13210">
        <w:rPr>
          <w:rFonts w:ascii="Times New Roman" w:hAnsi="Times New Roman"/>
          <w:sz w:val="22"/>
          <w:szCs w:val="22"/>
        </w:rPr>
        <w:t>Bojnik</w:t>
      </w:r>
      <w:proofErr w:type="spellEnd"/>
      <w:r w:rsidR="00B13210" w:rsidRPr="00B13210">
        <w:rPr>
          <w:rFonts w:ascii="Times New Roman" w:hAnsi="Times New Roman"/>
          <w:sz w:val="22"/>
          <w:szCs w:val="22"/>
        </w:rPr>
        <w:t xml:space="preserve">, Serbia, Project Office, </w:t>
      </w:r>
      <w:proofErr w:type="spellStart"/>
      <w:r w:rsidR="00B13210" w:rsidRPr="00B13210">
        <w:rPr>
          <w:rFonts w:ascii="Times New Roman" w:hAnsi="Times New Roman"/>
          <w:sz w:val="22"/>
          <w:szCs w:val="22"/>
        </w:rPr>
        <w:t>Nebojsa</w:t>
      </w:r>
      <w:proofErr w:type="spellEnd"/>
      <w:r w:rsidR="00B13210" w:rsidRPr="00B13210">
        <w:rPr>
          <w:rFonts w:ascii="Times New Roman" w:hAnsi="Times New Roman"/>
          <w:sz w:val="22"/>
          <w:szCs w:val="22"/>
        </w:rPr>
        <w:t xml:space="preserve"> </w:t>
      </w:r>
      <w:proofErr w:type="spellStart"/>
      <w:r w:rsidR="00B13210" w:rsidRPr="00B13210">
        <w:rPr>
          <w:rFonts w:ascii="Times New Roman" w:hAnsi="Times New Roman"/>
          <w:sz w:val="22"/>
          <w:szCs w:val="22"/>
        </w:rPr>
        <w:t>Stankovic</w:t>
      </w:r>
      <w:proofErr w:type="spellEnd"/>
      <w:r w:rsidR="00B13210" w:rsidRPr="00B13210">
        <w:rPr>
          <w:rFonts w:ascii="Times New Roman" w:hAnsi="Times New Roman"/>
          <w:sz w:val="22"/>
          <w:szCs w:val="22"/>
        </w:rPr>
        <w:t xml:space="preserve"> – Project Manager, office@bojnik.rs</w:t>
      </w: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 xml:space="preserve">arts, as </w:t>
      </w:r>
      <w:proofErr w:type="gramStart"/>
      <w:r>
        <w:rPr>
          <w:rFonts w:ascii="Times New Roman" w:hAnsi="Times New Roman"/>
          <w:sz w:val="22"/>
          <w:szCs w:val="22"/>
        </w:rPr>
        <w:t>described</w:t>
      </w:r>
      <w:proofErr w:type="gramEnd"/>
      <w:r>
        <w:rPr>
          <w:rFonts w:ascii="Times New Roman" w:hAnsi="Times New Roman"/>
          <w:sz w:val="22"/>
          <w:szCs w:val="22"/>
        </w:rPr>
        <w:t xml:space="preserve">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B13210" w:rsidRDefault="00B13210" w:rsidP="00B13210">
      <w:pPr>
        <w:jc w:val="both"/>
        <w:rPr>
          <w:rFonts w:ascii="Times New Roman" w:hAnsi="Times New Roman"/>
          <w:sz w:val="22"/>
          <w:szCs w:val="22"/>
        </w:rPr>
      </w:pPr>
      <w:r w:rsidRPr="00B13210">
        <w:rPr>
          <w:rFonts w:ascii="Times New Roman" w:hAnsi="Times New Roman"/>
          <w:sz w:val="22"/>
          <w:szCs w:val="22"/>
        </w:rPr>
        <w:t>At the time of delivery the Contractor shall provide all relevant technical documentation for the equipment including, but not limited to, detailed technical specifications and oper</w:t>
      </w:r>
      <w:r w:rsidR="00B41E77">
        <w:rPr>
          <w:rFonts w:ascii="Times New Roman" w:hAnsi="Times New Roman"/>
          <w:sz w:val="22"/>
          <w:szCs w:val="22"/>
        </w:rPr>
        <w:t>ational and maintenance manuals.</w:t>
      </w:r>
    </w:p>
    <w:p w:rsidR="00E5675C" w:rsidRDefault="00B41E77" w:rsidP="00B41E77">
      <w:pPr>
        <w:jc w:val="both"/>
        <w:rPr>
          <w:rFonts w:ascii="Times New Roman" w:hAnsi="Times New Roman"/>
          <w:sz w:val="22"/>
          <w:szCs w:val="22"/>
        </w:rPr>
      </w:pPr>
      <w:r>
        <w:rPr>
          <w:rFonts w:ascii="Times New Roman" w:hAnsi="Times New Roman"/>
          <w:sz w:val="22"/>
          <w:szCs w:val="22"/>
        </w:rPr>
        <w:t>For the item number 1</w:t>
      </w:r>
      <w:proofErr w:type="gramStart"/>
      <w:r>
        <w:rPr>
          <w:rFonts w:ascii="Times New Roman" w:hAnsi="Times New Roman"/>
          <w:sz w:val="22"/>
          <w:szCs w:val="22"/>
        </w:rPr>
        <w:t>,2</w:t>
      </w:r>
      <w:proofErr w:type="gramEnd"/>
      <w:r>
        <w:rPr>
          <w:rFonts w:ascii="Times New Roman" w:hAnsi="Times New Roman"/>
          <w:sz w:val="22"/>
          <w:szCs w:val="22"/>
        </w:rPr>
        <w:t xml:space="preserve"> and 3 from Technical specification document (Annex II+III) it is required to submit </w:t>
      </w:r>
      <w:r w:rsidRPr="00B41E77">
        <w:rPr>
          <w:rFonts w:ascii="Times New Roman" w:hAnsi="Times New Roman"/>
          <w:sz w:val="22"/>
          <w:szCs w:val="22"/>
        </w:rPr>
        <w:t>Declaration of Performance (</w:t>
      </w:r>
      <w:proofErr w:type="spellStart"/>
      <w:r w:rsidRPr="00B41E77">
        <w:rPr>
          <w:rFonts w:ascii="Times New Roman" w:hAnsi="Times New Roman"/>
          <w:sz w:val="22"/>
          <w:szCs w:val="22"/>
        </w:rPr>
        <w:t>DoP</w:t>
      </w:r>
      <w:proofErr w:type="spellEnd"/>
      <w:r w:rsidRPr="00B41E77">
        <w:rPr>
          <w:rFonts w:ascii="Times New Roman" w:hAnsi="Times New Roman"/>
          <w:sz w:val="22"/>
          <w:szCs w:val="22"/>
        </w:rPr>
        <w:t>)</w:t>
      </w:r>
      <w:r>
        <w:rPr>
          <w:rFonts w:ascii="Times New Roman" w:hAnsi="Times New Roman"/>
          <w:sz w:val="22"/>
          <w:szCs w:val="22"/>
        </w:rPr>
        <w:t xml:space="preserve"> for offered element</w:t>
      </w:r>
      <w:r w:rsidR="00E5675C">
        <w:rPr>
          <w:rFonts w:ascii="Times New Roman" w:hAnsi="Times New Roman"/>
          <w:sz w:val="22"/>
          <w:szCs w:val="22"/>
        </w:rPr>
        <w:t>.</w:t>
      </w:r>
      <w:r>
        <w:rPr>
          <w:rFonts w:ascii="Times New Roman" w:hAnsi="Times New Roman"/>
          <w:sz w:val="22"/>
          <w:szCs w:val="22"/>
        </w:rPr>
        <w:t xml:space="preserve"> </w:t>
      </w:r>
    </w:p>
    <w:p w:rsidR="00B41E77" w:rsidRPr="00B41E77" w:rsidRDefault="00B41E77" w:rsidP="00B41E77">
      <w:pPr>
        <w:jc w:val="both"/>
        <w:rPr>
          <w:rFonts w:ascii="Times New Roman" w:hAnsi="Times New Roman"/>
          <w:sz w:val="22"/>
          <w:szCs w:val="22"/>
        </w:rPr>
      </w:pPr>
      <w:r w:rsidRPr="00B41E77">
        <w:rPr>
          <w:rFonts w:ascii="Times New Roman" w:hAnsi="Times New Roman"/>
          <w:sz w:val="22"/>
          <w:szCs w:val="22"/>
        </w:rPr>
        <w:t>For the item number 1</w:t>
      </w:r>
      <w:r>
        <w:rPr>
          <w:rFonts w:ascii="Times New Roman" w:hAnsi="Times New Roman"/>
          <w:sz w:val="22"/>
          <w:szCs w:val="22"/>
        </w:rPr>
        <w:t xml:space="preserve">0 </w:t>
      </w:r>
      <w:r w:rsidRPr="00B41E77">
        <w:rPr>
          <w:rFonts w:ascii="Times New Roman" w:hAnsi="Times New Roman"/>
          <w:sz w:val="22"/>
          <w:szCs w:val="22"/>
        </w:rPr>
        <w:t xml:space="preserve">from Technical specification document (Annex II+III) it is required to submit </w:t>
      </w:r>
      <w:r w:rsidRPr="00B41E77">
        <w:rPr>
          <w:rFonts w:ascii="Times New Roman" w:hAnsi="Times New Roman"/>
          <w:sz w:val="22"/>
          <w:szCs w:val="22"/>
          <w:lang w:val="en-US"/>
        </w:rPr>
        <w:t>TUV certificate approved for the stage platform</w:t>
      </w:r>
      <w:r w:rsidR="00E5675C">
        <w:rPr>
          <w:rFonts w:ascii="Times New Roman" w:hAnsi="Times New Roman"/>
          <w:sz w:val="22"/>
          <w:szCs w:val="22"/>
          <w:lang w:val="en-US"/>
        </w:rPr>
        <w:t>.</w:t>
      </w:r>
    </w:p>
    <w:p w:rsidR="00B41E77" w:rsidRPr="00B41E77" w:rsidRDefault="00B41E77" w:rsidP="00B41E77">
      <w:pPr>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4" w:name="_GoBack"/>
      <w:bookmarkStart w:id="5" w:name="_Toc124934899"/>
      <w:bookmarkEnd w:id="4"/>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rsidR="0047783A" w:rsidRPr="003D6B6C" w:rsidRDefault="00B13210" w:rsidP="00B34179">
      <w:pPr>
        <w:jc w:val="both"/>
        <w:rPr>
          <w:rFonts w:ascii="Times New Roman" w:hAnsi="Times New Roman"/>
          <w:sz w:val="22"/>
          <w:szCs w:val="22"/>
        </w:rPr>
      </w:pPr>
      <w:proofErr w:type="gramStart"/>
      <w:r>
        <w:rPr>
          <w:rFonts w:ascii="Times New Roman" w:hAnsi="Times New Roman"/>
          <w:sz w:val="22"/>
          <w:szCs w:val="22"/>
        </w:rPr>
        <w:t>N/a</w:t>
      </w:r>
      <w:proofErr w:type="gramEnd"/>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BF0DC2" w:rsidRPr="00BF0DC2" w:rsidRDefault="00E0396B" w:rsidP="00BF0DC2">
      <w:pPr>
        <w:tabs>
          <w:tab w:val="left" w:pos="426"/>
        </w:tabs>
        <w:ind w:left="1134" w:right="-285" w:hanging="708"/>
        <w:rPr>
          <w:rFonts w:ascii="Times New Roman" w:hAnsi="Times New Roman"/>
          <w:sz w:val="22"/>
          <w:szCs w:val="22"/>
        </w:rPr>
      </w:pPr>
      <w:r w:rsidRPr="003D6B6C">
        <w:rPr>
          <w:rFonts w:ascii="Times New Roman" w:hAnsi="Times New Roman"/>
          <w:sz w:val="22"/>
          <w:szCs w:val="22"/>
        </w:rPr>
        <w:lastRenderedPageBreak/>
        <w:t>9.9</w:t>
      </w:r>
      <w:r w:rsidRPr="003D6B6C">
        <w:rPr>
          <w:rFonts w:ascii="Times New Roman" w:hAnsi="Times New Roman"/>
          <w:sz w:val="22"/>
          <w:szCs w:val="22"/>
        </w:rPr>
        <w:tab/>
      </w:r>
      <w:r w:rsidR="00BF0DC2" w:rsidRPr="00BF0DC2">
        <w:rPr>
          <w:rFonts w:ascii="Times New Roman" w:hAnsi="Times New Roman"/>
          <w:sz w:val="22"/>
          <w:szCs w:val="22"/>
        </w:rPr>
        <w:t xml:space="preserve">The visibility measures by the Contractor must comply with the rules lay down in the Communication and Visibility Manual for </w:t>
      </w:r>
      <w:proofErr w:type="spellStart"/>
      <w:r w:rsidR="00BF0DC2" w:rsidRPr="00BF0DC2">
        <w:rPr>
          <w:rFonts w:ascii="Times New Roman" w:hAnsi="Times New Roman"/>
          <w:sz w:val="22"/>
          <w:szCs w:val="22"/>
        </w:rPr>
        <w:t>Interreg</w:t>
      </w:r>
      <w:proofErr w:type="spellEnd"/>
      <w:r w:rsidR="00BF0DC2" w:rsidRPr="00BF0DC2">
        <w:rPr>
          <w:rFonts w:ascii="Times New Roman" w:hAnsi="Times New Roman"/>
          <w:sz w:val="22"/>
          <w:szCs w:val="22"/>
        </w:rPr>
        <w:t xml:space="preserve"> - IPA CBC Programme Bulgaria – Serbia 2014- 2020 published on the programme website: http://www.ipacbc-bgrs.eu.</w:t>
      </w:r>
    </w:p>
    <w:p w:rsidR="00E0396B" w:rsidRPr="003D6B6C" w:rsidRDefault="00E0396B" w:rsidP="003D6B6C">
      <w:pPr>
        <w:tabs>
          <w:tab w:val="left" w:pos="426"/>
        </w:tabs>
        <w:ind w:left="1134" w:right="-285" w:hanging="708"/>
        <w:rPr>
          <w:rFonts w:ascii="Times New Roman" w:hAnsi="Times New Roman"/>
          <w:sz w:val="22"/>
          <w:szCs w:val="22"/>
        </w:rPr>
      </w:pP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rsidR="0047783A"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proofErr w:type="spellStart"/>
      <w:r w:rsidR="00BF0DC2" w:rsidRPr="00BF0DC2">
        <w:rPr>
          <w:rFonts w:ascii="Times New Roman" w:hAnsi="Times New Roman"/>
          <w:sz w:val="22"/>
          <w:szCs w:val="22"/>
          <w:lang w:val="en-US"/>
        </w:rPr>
        <w:t>Interreg</w:t>
      </w:r>
      <w:proofErr w:type="spellEnd"/>
      <w:r w:rsidR="00BF0DC2" w:rsidRPr="00BF0DC2">
        <w:rPr>
          <w:rFonts w:ascii="Times New Roman" w:hAnsi="Times New Roman"/>
          <w:sz w:val="22"/>
          <w:szCs w:val="22"/>
          <w:lang w:val="en-US"/>
        </w:rPr>
        <w:t xml:space="preserve"> - IPA CBC </w:t>
      </w:r>
      <w:proofErr w:type="spellStart"/>
      <w:r w:rsidR="00BF0DC2" w:rsidRPr="00BF0DC2">
        <w:rPr>
          <w:rFonts w:ascii="Times New Roman" w:hAnsi="Times New Roman"/>
          <w:sz w:val="22"/>
          <w:szCs w:val="22"/>
          <w:lang w:val="en-US"/>
        </w:rPr>
        <w:t>Programme</w:t>
      </w:r>
      <w:proofErr w:type="spellEnd"/>
      <w:r w:rsidR="00BF0DC2" w:rsidRPr="00BF0DC2">
        <w:rPr>
          <w:rFonts w:ascii="Times New Roman" w:hAnsi="Times New Roman"/>
          <w:sz w:val="22"/>
          <w:szCs w:val="22"/>
          <w:lang w:val="en-US"/>
        </w:rPr>
        <w:t xml:space="preserve"> Bulgaria – Serbia </w:t>
      </w:r>
      <w:r w:rsidR="00BF0DC2" w:rsidRPr="00BF0DC2">
        <w:rPr>
          <w:rFonts w:ascii="Times New Roman" w:hAnsi="Times New Roman"/>
          <w:sz w:val="22"/>
          <w:szCs w:val="22"/>
          <w:lang w:val="en-GB"/>
        </w:rPr>
        <w:t>programme</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rsidR="00BF0DC2" w:rsidRPr="00BF0DC2" w:rsidRDefault="00BF0DC2" w:rsidP="00BF0DC2">
      <w:pPr>
        <w:ind w:left="1134"/>
        <w:rPr>
          <w:rFonts w:ascii="Times New Roman" w:hAnsi="Times New Roman"/>
          <w:sz w:val="22"/>
        </w:rPr>
      </w:pPr>
      <w:r w:rsidRPr="00BF0DC2">
        <w:rPr>
          <w:rFonts w:ascii="Times New Roman" w:hAnsi="Times New Roman"/>
          <w:sz w:val="22"/>
        </w:rPr>
        <w:t>All supplies under this contract may originate from any country.</w:t>
      </w:r>
    </w:p>
    <w:p w:rsidR="0047783A" w:rsidRPr="003D6B6C" w:rsidRDefault="0047783A" w:rsidP="00BF0DC2">
      <w:pPr>
        <w:pStyle w:val="Heading2"/>
        <w:keepNext w:val="0"/>
        <w:numPr>
          <w:ilvl w:val="1"/>
          <w:numId w:val="0"/>
        </w:numPr>
        <w:ind w:left="1134"/>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rsidR="00D25711" w:rsidRPr="003D6B6C" w:rsidRDefault="00F355C1" w:rsidP="00BF0DC2">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BF0DC2">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rsidR="004D33C9" w:rsidRPr="003D6B6C" w:rsidRDefault="004D33C9" w:rsidP="00CB1E66">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CB1E66" w:rsidRPr="00CB1E66">
        <w:rPr>
          <w:rFonts w:ascii="Times New Roman" w:hAnsi="Times New Roman"/>
          <w:sz w:val="22"/>
          <w:szCs w:val="22"/>
        </w:rPr>
        <w:t>No derogation from the General Conditions</w:t>
      </w:r>
    </w:p>
    <w:p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CB1E66" w:rsidRPr="00CB1E66">
        <w:rPr>
          <w:rFonts w:ascii="Times New Roman" w:hAnsi="Times New Roman"/>
          <w:sz w:val="22"/>
          <w:szCs w:val="22"/>
        </w:rPr>
        <w:t>No derogation from the General Conditions</w:t>
      </w:r>
    </w:p>
    <w:p w:rsidR="004D33C9" w:rsidRPr="003D6B6C" w:rsidRDefault="003D6B6C" w:rsidP="00CB1E66">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CB1E66" w:rsidRPr="00CB1E66">
        <w:rPr>
          <w:rFonts w:ascii="Times New Roman" w:hAnsi="Times New Roman"/>
          <w:sz w:val="22"/>
          <w:szCs w:val="22"/>
        </w:rPr>
        <w:t>No derogation from the General Conditions</w:t>
      </w:r>
    </w:p>
    <w:p w:rsidR="004D33C9" w:rsidRPr="00CB1E66" w:rsidRDefault="003D6B6C" w:rsidP="00CB1E66">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CB1E66" w:rsidRPr="00CB1E66">
        <w:rPr>
          <w:rFonts w:ascii="Times New Roman" w:hAnsi="Times New Roman"/>
          <w:sz w:val="22"/>
          <w:szCs w:val="22"/>
        </w:rPr>
        <w:t>No derogation from the General Conditions</w:t>
      </w:r>
    </w:p>
    <w:p w:rsidR="00F51D3D" w:rsidRPr="003D6B6C" w:rsidRDefault="003D6B6C" w:rsidP="00CB1E66">
      <w:pPr>
        <w:ind w:left="1843" w:hanging="1843"/>
        <w:jc w:val="both"/>
        <w:rPr>
          <w:rFonts w:ascii="Times New Roman" w:hAnsi="Times New Roman"/>
          <w:color w:val="222222"/>
          <w:sz w:val="22"/>
          <w:szCs w:val="22"/>
          <w:highlight w:val="yellow"/>
          <w:lang/>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p>
    <w:p w:rsidR="00E76535" w:rsidRPr="0060314A" w:rsidRDefault="00E76535" w:rsidP="003D6B6C">
      <w:pPr>
        <w:pStyle w:val="Default"/>
        <w:numPr>
          <w:ilvl w:val="0"/>
          <w:numId w:val="22"/>
        </w:numPr>
        <w:ind w:left="2268"/>
        <w:jc w:val="both"/>
        <w:rPr>
          <w:sz w:val="22"/>
          <w:szCs w:val="22"/>
        </w:rPr>
      </w:pPr>
      <w:r w:rsidRPr="0060314A">
        <w:rPr>
          <w:b/>
          <w:i/>
          <w:iCs/>
          <w:sz w:val="22"/>
          <w:szCs w:val="22"/>
        </w:rPr>
        <w:t>DDP - Delivered Duty Paid</w:t>
      </w:r>
      <w:r w:rsidRPr="0060314A">
        <w:rPr>
          <w:i/>
          <w:iCs/>
          <w:sz w:val="22"/>
          <w:szCs w:val="22"/>
        </w:rPr>
        <w:t xml:space="preserve">: </w:t>
      </w:r>
      <w:proofErr w:type="spellStart"/>
      <w:r w:rsidRPr="0060314A">
        <w:rPr>
          <w:color w:val="222222"/>
          <w:sz w:val="22"/>
          <w:szCs w:val="22"/>
          <w:lang/>
        </w:rPr>
        <w:t>Incoterm</w:t>
      </w:r>
      <w:proofErr w:type="spellEnd"/>
      <w:r w:rsidRPr="0060314A">
        <w:rPr>
          <w:color w:val="222222"/>
          <w:sz w:val="22"/>
          <w:szCs w:val="22"/>
          <w:lang/>
        </w:rPr>
        <w:t xml:space="preserve"> which i</w:t>
      </w:r>
      <w:r w:rsidR="0045678B" w:rsidRPr="0060314A">
        <w:rPr>
          <w:color w:val="222222"/>
          <w:sz w:val="22"/>
          <w:szCs w:val="22"/>
          <w:lang/>
        </w:rPr>
        <w:t>mpos</w:t>
      </w:r>
      <w:r w:rsidRPr="0060314A">
        <w:rPr>
          <w:color w:val="222222"/>
          <w:sz w:val="22"/>
          <w:szCs w:val="22"/>
          <w:lang/>
        </w:rPr>
        <w:t xml:space="preserve">es </w:t>
      </w:r>
      <w:r w:rsidR="0045678B" w:rsidRPr="0060314A">
        <w:rPr>
          <w:color w:val="222222"/>
          <w:sz w:val="22"/>
          <w:szCs w:val="22"/>
          <w:lang/>
        </w:rPr>
        <w:t xml:space="preserve">on </w:t>
      </w:r>
      <w:r w:rsidRPr="0060314A">
        <w:rPr>
          <w:color w:val="222222"/>
          <w:sz w:val="22"/>
          <w:szCs w:val="22"/>
          <w:lang/>
        </w:rPr>
        <w:t xml:space="preserve">the </w:t>
      </w:r>
      <w:r w:rsidR="00297C14" w:rsidRPr="0060314A">
        <w:rPr>
          <w:color w:val="222222"/>
          <w:sz w:val="22"/>
          <w:szCs w:val="22"/>
          <w:lang/>
        </w:rPr>
        <w:t>seller maximum obligations vis-</w:t>
      </w:r>
      <w:r w:rsidRPr="0060314A">
        <w:rPr>
          <w:color w:val="222222"/>
          <w:sz w:val="22"/>
          <w:szCs w:val="22"/>
          <w:lang/>
        </w:rPr>
        <w:t xml:space="preserve">à-vis transportation and loss </w:t>
      </w:r>
      <w:r w:rsidR="0045678B" w:rsidRPr="0060314A">
        <w:rPr>
          <w:color w:val="222222"/>
          <w:sz w:val="22"/>
          <w:szCs w:val="22"/>
          <w:lang/>
        </w:rPr>
        <w:t xml:space="preserve">risks </w:t>
      </w:r>
      <w:r w:rsidRPr="0060314A">
        <w:rPr>
          <w:color w:val="222222"/>
          <w:sz w:val="22"/>
          <w:szCs w:val="22"/>
          <w:lang/>
        </w:rPr>
        <w:t>and damage associated with the goods</w:t>
      </w:r>
      <w:r w:rsidR="003439C4" w:rsidRPr="0060314A">
        <w:rPr>
          <w:color w:val="222222"/>
          <w:sz w:val="22"/>
          <w:szCs w:val="22"/>
          <w:lang/>
        </w:rPr>
        <w:t>:</w:t>
      </w:r>
    </w:p>
    <w:p w:rsidR="00EF6552" w:rsidRPr="003D6B6C" w:rsidRDefault="00B2529B" w:rsidP="003D6B6C">
      <w:pPr>
        <w:pStyle w:val="Default"/>
        <w:spacing w:after="120"/>
        <w:ind w:left="2268"/>
        <w:jc w:val="both"/>
        <w:rPr>
          <w:color w:val="222222"/>
          <w:sz w:val="22"/>
          <w:szCs w:val="22"/>
          <w:lang/>
        </w:rPr>
      </w:pPr>
      <w:r w:rsidRPr="0060314A">
        <w:rPr>
          <w:i/>
          <w:iCs/>
          <w:sz w:val="22"/>
          <w:szCs w:val="22"/>
        </w:rPr>
        <w:t>‘</w:t>
      </w:r>
      <w:r w:rsidR="00E76535" w:rsidRPr="0060314A">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0314A">
        <w:rPr>
          <w:i/>
          <w:iCs/>
          <w:sz w:val="22"/>
          <w:szCs w:val="22"/>
        </w:rPr>
        <w:t>’</w:t>
      </w:r>
      <w:r w:rsidR="00297C14" w:rsidRPr="0060314A">
        <w:rPr>
          <w:rStyle w:val="FootnoteReference"/>
          <w:i/>
          <w:iCs/>
          <w:sz w:val="22"/>
          <w:szCs w:val="22"/>
        </w:rPr>
        <w:footnoteReference w:id="2"/>
      </w:r>
      <w:r w:rsidR="00EF6552" w:rsidRPr="0060314A">
        <w:rPr>
          <w:color w:val="222222"/>
          <w:sz w:val="22"/>
          <w:szCs w:val="22"/>
          <w:lang/>
        </w:rPr>
        <w:t>Th</w:t>
      </w:r>
      <w:r w:rsidR="008E5F59" w:rsidRPr="0060314A">
        <w:rPr>
          <w:color w:val="222222"/>
          <w:sz w:val="22"/>
          <w:szCs w:val="22"/>
          <w:lang/>
        </w:rPr>
        <w:t>e transfer of risks and costs occur</w:t>
      </w:r>
      <w:r w:rsidR="00EF6552" w:rsidRPr="0060314A">
        <w:rPr>
          <w:color w:val="222222"/>
          <w:sz w:val="22"/>
          <w:szCs w:val="22"/>
          <w:lang/>
        </w:rPr>
        <w:t xml:space="preserve">s at the place of unloading </w:t>
      </w:r>
      <w:r w:rsidR="008E5F59" w:rsidRPr="0060314A">
        <w:rPr>
          <w:color w:val="222222"/>
          <w:sz w:val="22"/>
          <w:szCs w:val="22"/>
          <w:lang/>
        </w:rPr>
        <w:t xml:space="preserve">of </w:t>
      </w:r>
      <w:r w:rsidR="00EF6552" w:rsidRPr="0060314A">
        <w:rPr>
          <w:color w:val="222222"/>
          <w:sz w:val="22"/>
          <w:szCs w:val="22"/>
          <w:lang/>
        </w:rPr>
        <w:t xml:space="preserve">the goods at the agreed </w:t>
      </w:r>
      <w:r w:rsidR="008E5F59" w:rsidRPr="0060314A">
        <w:rPr>
          <w:color w:val="222222"/>
          <w:sz w:val="22"/>
          <w:szCs w:val="22"/>
          <w:lang/>
        </w:rPr>
        <w:t xml:space="preserve">place of </w:t>
      </w:r>
      <w:r w:rsidR="00EF6552" w:rsidRPr="0060314A">
        <w:rPr>
          <w:color w:val="222222"/>
          <w:sz w:val="22"/>
          <w:szCs w:val="22"/>
          <w:lang/>
        </w:rPr>
        <w:t>destination.</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lastRenderedPageBreak/>
        <w:t>13.2</w:t>
      </w:r>
      <w:r w:rsidRPr="003D6B6C">
        <w:rPr>
          <w:rFonts w:ascii="Times New Roman" w:hAnsi="Times New Roman"/>
          <w:sz w:val="22"/>
          <w:szCs w:val="22"/>
        </w:rPr>
        <w:tab/>
      </w:r>
      <w:r w:rsidR="004557B6" w:rsidRPr="004557B6">
        <w:rPr>
          <w:rFonts w:ascii="Times New Roman" w:hAnsi="Times New Roman"/>
          <w:sz w:val="22"/>
          <w:szCs w:val="22"/>
        </w:rPr>
        <w:t xml:space="preserve">The equipment must be delivered in a timeframe of </w:t>
      </w:r>
      <w:r w:rsidR="00F854B9">
        <w:rPr>
          <w:rFonts w:ascii="Times New Roman" w:hAnsi="Times New Roman"/>
          <w:sz w:val="22"/>
          <w:szCs w:val="22"/>
        </w:rPr>
        <w:t>30</w:t>
      </w:r>
      <w:r w:rsidR="004557B6" w:rsidRPr="004557B6">
        <w:rPr>
          <w:rFonts w:ascii="Times New Roman" w:hAnsi="Times New Roman"/>
          <w:sz w:val="22"/>
          <w:szCs w:val="22"/>
        </w:rPr>
        <w:t xml:space="preserve"> days 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583AA6" w:rsidRPr="00583AA6">
        <w:rPr>
          <w:rFonts w:ascii="Times New Roman" w:hAnsi="Times New Roman"/>
          <w:sz w:val="22"/>
          <w:szCs w:val="22"/>
        </w:rPr>
        <w:t>The Contractor will deliver User manuals and other technical specifications of the equipment usually provided by the producer</w:t>
      </w: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583AA6">
        <w:rPr>
          <w:rFonts w:ascii="Times New Roman" w:hAnsi="Times New Roman"/>
          <w:sz w:val="22"/>
          <w:szCs w:val="22"/>
        </w:rPr>
        <w:t>Not applicable</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583AA6" w:rsidRPr="00AB14ED">
        <w:rPr>
          <w:rFonts w:ascii="Times New Roman" w:hAnsi="Times New Roman"/>
          <w:sz w:val="22"/>
          <w:szCs w:val="22"/>
        </w:rPr>
        <w:t>The Delivery conditions are DDP.</w:t>
      </w:r>
    </w:p>
    <w:p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583AA6" w:rsidRPr="00583AA6">
        <w:rPr>
          <w:rFonts w:ascii="Times New Roman" w:hAnsi="Times New Roman"/>
          <w:sz w:val="22"/>
          <w:szCs w:val="22"/>
        </w:rPr>
        <w:t>No derogation from the General Conditions</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583AA6" w:rsidRPr="00FD4FA2">
        <w:rPr>
          <w:rFonts w:ascii="Times New Roman" w:hAnsi="Times New Roman"/>
          <w:sz w:val="22"/>
          <w:szCs w:val="22"/>
        </w:rPr>
        <w:t>The implementation of tasks shall commence on the date after both parties sign the Contract.</w:t>
      </w: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583AA6" w:rsidRPr="00FD4FA2">
        <w:rPr>
          <w:rFonts w:ascii="Times New Roman" w:hAnsi="Times New Roman"/>
          <w:sz w:val="22"/>
          <w:szCs w:val="22"/>
        </w:rPr>
        <w:t xml:space="preserve">The equipment must </w:t>
      </w:r>
      <w:r w:rsidR="00B327D3">
        <w:rPr>
          <w:rFonts w:ascii="Times New Roman" w:hAnsi="Times New Roman"/>
          <w:sz w:val="22"/>
          <w:szCs w:val="22"/>
        </w:rPr>
        <w:t xml:space="preserve">be delivered in a timeframe of </w:t>
      </w:r>
      <w:r w:rsidR="00F854B9">
        <w:rPr>
          <w:rFonts w:ascii="Times New Roman" w:hAnsi="Times New Roman"/>
          <w:sz w:val="22"/>
          <w:szCs w:val="22"/>
        </w:rPr>
        <w:t>3</w:t>
      </w:r>
      <w:r w:rsidR="00583AA6" w:rsidRPr="00FD4FA2">
        <w:rPr>
          <w:rFonts w:ascii="Times New Roman" w:hAnsi="Times New Roman"/>
          <w:sz w:val="22"/>
          <w:szCs w:val="22"/>
        </w:rPr>
        <w:t>0 days 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B327D3" w:rsidRPr="00B327D3">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583AA6" w:rsidRPr="00FD4FA2">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rsidR="00583AA6" w:rsidRDefault="0047783A" w:rsidP="00583AA6">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83AA6" w:rsidRPr="00FD4FA2">
        <w:rPr>
          <w:rFonts w:ascii="Times New Roman" w:hAnsi="Times New Roman"/>
          <w:sz w:val="22"/>
          <w:szCs w:val="22"/>
        </w:rPr>
        <w:t xml:space="preserve">Payments shall be made in </w:t>
      </w:r>
      <w:proofErr w:type="spellStart"/>
      <w:r w:rsidR="00583AA6" w:rsidRPr="00FD4FA2">
        <w:rPr>
          <w:rFonts w:ascii="Times New Roman" w:hAnsi="Times New Roman"/>
          <w:sz w:val="22"/>
          <w:szCs w:val="22"/>
        </w:rPr>
        <w:t>euros</w:t>
      </w:r>
      <w:proofErr w:type="spellEnd"/>
      <w:r w:rsidR="00583AA6" w:rsidRPr="00FD4FA2">
        <w:rPr>
          <w:rFonts w:ascii="Times New Roman" w:hAnsi="Times New Roman"/>
          <w:sz w:val="22"/>
          <w:szCs w:val="22"/>
        </w:rPr>
        <w:t xml:space="preserve"> or RSD depending on selected Contractor. For contractors registered in Serbia, payments will be in RSD (calculated based on </w:t>
      </w:r>
      <w:proofErr w:type="spellStart"/>
      <w:r w:rsidR="00583AA6" w:rsidRPr="00FD4FA2">
        <w:rPr>
          <w:rFonts w:ascii="Times New Roman" w:hAnsi="Times New Roman"/>
          <w:sz w:val="22"/>
          <w:szCs w:val="22"/>
        </w:rPr>
        <w:t>In</w:t>
      </w:r>
      <w:r w:rsidR="00583AA6">
        <w:rPr>
          <w:rFonts w:ascii="Times New Roman" w:hAnsi="Times New Roman"/>
          <w:sz w:val="22"/>
          <w:szCs w:val="22"/>
        </w:rPr>
        <w:t>f</w:t>
      </w:r>
      <w:r w:rsidR="00583AA6" w:rsidRPr="00FD4FA2">
        <w:rPr>
          <w:rFonts w:ascii="Times New Roman" w:hAnsi="Times New Roman"/>
          <w:sz w:val="22"/>
          <w:szCs w:val="22"/>
        </w:rPr>
        <w:t>orEuro</w:t>
      </w:r>
      <w:proofErr w:type="spellEnd"/>
      <w:r w:rsidR="00583AA6" w:rsidRPr="00FD4FA2">
        <w:rPr>
          <w:rFonts w:ascii="Times New Roman" w:hAnsi="Times New Roman"/>
          <w:sz w:val="22"/>
          <w:szCs w:val="22"/>
        </w:rPr>
        <w:t xml:space="preserve"> exchange rate in the month of contract signature, and for contractors registered in other eligible countries, payments will be in EUR. </w:t>
      </w:r>
    </w:p>
    <w:p w:rsidR="00583AA6" w:rsidRPr="00A025DA" w:rsidRDefault="00583AA6" w:rsidP="00583AA6">
      <w:pPr>
        <w:tabs>
          <w:tab w:val="right" w:pos="9885"/>
        </w:tabs>
        <w:ind w:left="1134" w:hanging="709"/>
        <w:jc w:val="both"/>
        <w:rPr>
          <w:rFonts w:ascii="Times New Roman" w:hAnsi="Times New Roman"/>
          <w:sz w:val="22"/>
          <w:szCs w:val="22"/>
        </w:rPr>
      </w:pPr>
      <w:r w:rsidRPr="00A025DA">
        <w:rPr>
          <w:rFonts w:ascii="Times New Roman" w:hAnsi="Times New Roman"/>
          <w:sz w:val="22"/>
          <w:szCs w:val="22"/>
        </w:rPr>
        <w:t>The applicable tax and customs arrangements are as follows:</w:t>
      </w:r>
    </w:p>
    <w:p w:rsidR="00583AA6" w:rsidRPr="00A025DA" w:rsidRDefault="00583AA6" w:rsidP="00583AA6">
      <w:pPr>
        <w:tabs>
          <w:tab w:val="right" w:pos="9885"/>
        </w:tabs>
        <w:ind w:left="1134" w:hanging="709"/>
        <w:jc w:val="both"/>
        <w:rPr>
          <w:rFonts w:ascii="Times New Roman" w:hAnsi="Times New Roman"/>
          <w:sz w:val="22"/>
          <w:szCs w:val="22"/>
        </w:rPr>
      </w:pPr>
      <w:r w:rsidRPr="00A025DA">
        <w:rPr>
          <w:rFonts w:ascii="Times New Roman" w:hAnsi="Times New Roman"/>
          <w:sz w:val="22"/>
          <w:szCs w:val="22"/>
        </w:rPr>
        <w:t>Exemption of taxes</w:t>
      </w:r>
    </w:p>
    <w:p w:rsidR="00583AA6" w:rsidRPr="00FD4FA2" w:rsidRDefault="00583AA6" w:rsidP="00583AA6">
      <w:pPr>
        <w:tabs>
          <w:tab w:val="right" w:pos="9885"/>
        </w:tabs>
        <w:ind w:left="1134" w:hanging="709"/>
        <w:jc w:val="both"/>
        <w:rPr>
          <w:rFonts w:ascii="Times New Roman" w:hAnsi="Times New Roman"/>
          <w:sz w:val="22"/>
          <w:szCs w:val="22"/>
        </w:rPr>
      </w:pPr>
      <w:r w:rsidRPr="00A025DA">
        <w:rPr>
          <w:rFonts w:ascii="Times New Roman" w:hAnsi="Times New Roman"/>
          <w:sz w:val="22"/>
          <w:szCs w:val="22"/>
        </w:rPr>
        <w:t>The European Commission and the Republic of Serbia have agreed in “Framework Agreement”, signed on 23.12.2014, to exonerate the VAT taxes. More specific information such as details of the competent authority of the partner country, a reference to exemption procedures are prescribed by the national legislation in force.</w:t>
      </w:r>
    </w:p>
    <w:p w:rsidR="00583AA6" w:rsidRPr="00FD4FA2" w:rsidRDefault="00583AA6" w:rsidP="00583AA6">
      <w:pPr>
        <w:tabs>
          <w:tab w:val="right" w:pos="9885"/>
        </w:tabs>
        <w:ind w:left="1134"/>
        <w:jc w:val="both"/>
        <w:rPr>
          <w:rFonts w:ascii="Times New Roman" w:hAnsi="Times New Roman"/>
          <w:sz w:val="22"/>
          <w:szCs w:val="22"/>
        </w:rPr>
      </w:pPr>
      <w:r w:rsidRPr="00FD4FA2">
        <w:rPr>
          <w:rFonts w:ascii="Times New Roman" w:hAnsi="Times New Roman"/>
          <w:sz w:val="22"/>
          <w:szCs w:val="22"/>
        </w:rPr>
        <w:lastRenderedPageBreak/>
        <w:t>The payment will be made after</w:t>
      </w:r>
      <w:r>
        <w:rPr>
          <w:rFonts w:ascii="Times New Roman" w:hAnsi="Times New Roman"/>
          <w:sz w:val="22"/>
          <w:szCs w:val="22"/>
        </w:rPr>
        <w:t xml:space="preserve"> delivery of the equipment and</w:t>
      </w:r>
      <w:r w:rsidRPr="00FD4FA2">
        <w:rPr>
          <w:rFonts w:ascii="Times New Roman" w:hAnsi="Times New Roman"/>
          <w:sz w:val="22"/>
          <w:szCs w:val="22"/>
        </w:rPr>
        <w:t xml:space="preserve"> the signature of the provisional acceptance by both parties.</w:t>
      </w:r>
    </w:p>
    <w:p w:rsidR="00583AA6" w:rsidRPr="00FD4FA2" w:rsidRDefault="00583AA6" w:rsidP="00583AA6">
      <w:pPr>
        <w:ind w:left="1134"/>
        <w:jc w:val="both"/>
        <w:rPr>
          <w:rFonts w:ascii="Times New Roman" w:hAnsi="Times New Roman"/>
          <w:sz w:val="22"/>
          <w:szCs w:val="22"/>
        </w:rPr>
      </w:pPr>
      <w:r w:rsidRPr="00FD4FA2">
        <w:rPr>
          <w:rFonts w:ascii="Times New Roman" w:hAnsi="Times New Roman"/>
          <w:sz w:val="22"/>
          <w:szCs w:val="22"/>
        </w:rPr>
        <w:t>Payments shall be authorised and made by Contracting Authority.</w:t>
      </w:r>
    </w:p>
    <w:p w:rsidR="00583AA6" w:rsidRPr="00E2648E" w:rsidRDefault="00583AA6" w:rsidP="00583AA6">
      <w:pPr>
        <w:tabs>
          <w:tab w:val="right" w:pos="9885"/>
        </w:tabs>
        <w:ind w:left="1134" w:hanging="709"/>
        <w:jc w:val="both"/>
        <w:rPr>
          <w:rFonts w:ascii="Times New Roman" w:hAnsi="Times New Roman"/>
          <w:sz w:val="22"/>
          <w:szCs w:val="22"/>
        </w:rPr>
      </w:pPr>
    </w:p>
    <w:p w:rsidR="0047783A" w:rsidRPr="003D6B6C" w:rsidRDefault="0047783A" w:rsidP="00583AA6">
      <w:pPr>
        <w:ind w:left="1134" w:hanging="709"/>
        <w:jc w:val="both"/>
        <w:rPr>
          <w:rFonts w:ascii="Times New Roman" w:hAnsi="Times New Roman"/>
          <w:sz w:val="22"/>
          <w:szCs w:val="22"/>
        </w:rPr>
      </w:pP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583AA6" w:rsidRPr="00583AA6">
        <w:rPr>
          <w:rFonts w:ascii="Times New Roman" w:hAnsi="Times New Roman"/>
          <w:color w:val="000000"/>
          <w:sz w:val="22"/>
          <w:szCs w:val="22"/>
        </w:rPr>
        <w:t>The contract will be at fixed prices, which will not be revised.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583AA6">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583AA6">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rsidR="0047783A" w:rsidRPr="003D6B6C" w:rsidRDefault="0047783A" w:rsidP="00583AA6">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571AFA">
        <w:rPr>
          <w:rFonts w:ascii="Times New Roman" w:hAnsi="Times New Roman"/>
          <w:sz w:val="22"/>
          <w:szCs w:val="22"/>
        </w:rPr>
        <w:t xml:space="preserve">The packaging </w:t>
      </w:r>
      <w:r w:rsidR="00551543" w:rsidRPr="00571AFA">
        <w:rPr>
          <w:rFonts w:ascii="Times New Roman" w:hAnsi="Times New Roman"/>
          <w:sz w:val="22"/>
          <w:szCs w:val="22"/>
        </w:rPr>
        <w:t>sha</w:t>
      </w:r>
      <w:r w:rsidR="008C4E79" w:rsidRPr="00571AFA">
        <w:rPr>
          <w:rFonts w:ascii="Times New Roman" w:hAnsi="Times New Roman"/>
          <w:sz w:val="22"/>
          <w:szCs w:val="22"/>
        </w:rPr>
        <w:t>ll</w:t>
      </w:r>
      <w:r w:rsidRPr="00571AFA">
        <w:rPr>
          <w:rFonts w:ascii="Times New Roman" w:hAnsi="Times New Roman"/>
          <w:sz w:val="22"/>
          <w:szCs w:val="22"/>
        </w:rPr>
        <w:t xml:space="preserve"> become the property of the recipient subject to environment</w:t>
      </w:r>
      <w:r w:rsidR="006D3BA1" w:rsidRPr="00571AFA">
        <w:rPr>
          <w:rFonts w:ascii="Times New Roman" w:hAnsi="Times New Roman"/>
          <w:sz w:val="22"/>
          <w:szCs w:val="22"/>
        </w:rPr>
        <w:t>al considerations</w:t>
      </w:r>
      <w:r w:rsidRPr="00571AFA">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rsidR="00571AFA" w:rsidRDefault="0047783A" w:rsidP="00571AFA">
      <w:pPr>
        <w:ind w:left="1134" w:hanging="708"/>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p>
    <w:p w:rsidR="00571AFA" w:rsidRPr="00BD18F6" w:rsidRDefault="00571AFA" w:rsidP="00571AFA">
      <w:pPr>
        <w:ind w:left="1134" w:hanging="708"/>
        <w:jc w:val="both"/>
        <w:rPr>
          <w:rFonts w:ascii="Times New Roman" w:hAnsi="Times New Roman"/>
          <w:sz w:val="22"/>
          <w:szCs w:val="22"/>
        </w:rPr>
      </w:pPr>
      <w:r w:rsidRPr="00A025DA">
        <w:rPr>
          <w:rFonts w:ascii="Times New Roman" w:hAnsi="Times New Roman"/>
          <w:sz w:val="22"/>
          <w:szCs w:val="22"/>
        </w:rPr>
        <w:t xml:space="preserve"> 31.2.</w:t>
      </w:r>
      <w:r w:rsidRPr="00A025DA">
        <w:rPr>
          <w:rFonts w:ascii="Times New Roman" w:hAnsi="Times New Roman"/>
          <w:sz w:val="22"/>
          <w:szCs w:val="22"/>
        </w:rPr>
        <w:tab/>
        <w:t xml:space="preserve">The provisional acceptance will be signed after supply, delivery, unloading </w:t>
      </w:r>
      <w:r>
        <w:rPr>
          <w:rFonts w:ascii="Times New Roman" w:hAnsi="Times New Roman"/>
          <w:sz w:val="22"/>
          <w:szCs w:val="22"/>
        </w:rPr>
        <w:t xml:space="preserve">and commissioning of the supplies by the Contractor and their acceptance by the Contracting Authority. </w:t>
      </w:r>
    </w:p>
    <w:p w:rsidR="00554164" w:rsidRPr="003D6B6C" w:rsidRDefault="00554164" w:rsidP="00571AFA">
      <w:pPr>
        <w:autoSpaceDE w:val="0"/>
        <w:autoSpaceDN w:val="0"/>
        <w:adjustRightInd w:val="0"/>
        <w:spacing w:before="0" w:after="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571AFA" w:rsidRPr="00BD18F6">
        <w:rPr>
          <w:rFonts w:ascii="Times New Roman" w:hAnsi="Times New Roman"/>
          <w:sz w:val="22"/>
          <w:szCs w:val="22"/>
        </w:rPr>
        <w:t>The Contractor shall warrant that the supplies are new, unused. The Contractor shall further warrant that none of the supplies have any defect arising from design, materials or workmanship.</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571AFA">
        <w:rPr>
          <w:rFonts w:ascii="Times New Roman" w:hAnsi="Times New Roman"/>
          <w:sz w:val="22"/>
          <w:szCs w:val="22"/>
        </w:rPr>
        <w:t>one</w:t>
      </w:r>
      <w:r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C90CA1">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rsidR="0038357E" w:rsidRPr="003D6B6C" w:rsidRDefault="0047783A" w:rsidP="00C90CA1">
      <w:pPr>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00C90CA1">
        <w:rPr>
          <w:rFonts w:ascii="Times New Roman" w:hAnsi="Times New Roman"/>
          <w:sz w:val="22"/>
          <w:szCs w:val="22"/>
        </w:rPr>
        <w:tab/>
      </w:r>
      <w:r w:rsidRPr="00C90CA1">
        <w:rPr>
          <w:rFonts w:ascii="Times New Roman" w:hAnsi="Times New Roman"/>
          <w:sz w:val="22"/>
          <w:szCs w:val="22"/>
        </w:rPr>
        <w:t xml:space="preserve">Any disputes arising out of or relating to this </w:t>
      </w:r>
      <w:r w:rsidR="00F60098" w:rsidRPr="00C90CA1">
        <w:rPr>
          <w:rFonts w:ascii="Times New Roman" w:hAnsi="Times New Roman"/>
          <w:sz w:val="22"/>
          <w:szCs w:val="22"/>
        </w:rPr>
        <w:t>c</w:t>
      </w:r>
      <w:r w:rsidR="0097513D" w:rsidRPr="00C90CA1">
        <w:rPr>
          <w:rFonts w:ascii="Times New Roman" w:hAnsi="Times New Roman"/>
          <w:sz w:val="22"/>
          <w:szCs w:val="22"/>
        </w:rPr>
        <w:t>ontract</w:t>
      </w:r>
      <w:r w:rsidRPr="00C90CA1">
        <w:rPr>
          <w:rFonts w:ascii="Times New Roman" w:hAnsi="Times New Roman"/>
          <w:sz w:val="22"/>
          <w:szCs w:val="22"/>
        </w:rPr>
        <w:t xml:space="preserve"> which cannot be settled otherwise </w:t>
      </w:r>
      <w:r w:rsidR="00177A94" w:rsidRPr="00C90CA1">
        <w:rPr>
          <w:rFonts w:ascii="Times New Roman" w:hAnsi="Times New Roman"/>
          <w:sz w:val="22"/>
          <w:szCs w:val="22"/>
        </w:rPr>
        <w:t xml:space="preserve">shall </w:t>
      </w:r>
      <w:r w:rsidRPr="00C90CA1">
        <w:rPr>
          <w:rFonts w:ascii="Times New Roman" w:hAnsi="Times New Roman"/>
          <w:sz w:val="22"/>
          <w:szCs w:val="22"/>
        </w:rPr>
        <w:t xml:space="preserve">be referred to the exclusive jurisdiction of </w:t>
      </w:r>
      <w:r w:rsidR="00C90CA1" w:rsidRPr="00C90CA1">
        <w:rPr>
          <w:rFonts w:ascii="Times New Roman" w:hAnsi="Times New Roman"/>
          <w:sz w:val="22"/>
          <w:szCs w:val="22"/>
        </w:rPr>
        <w:t xml:space="preserve">Court in </w:t>
      </w:r>
      <w:proofErr w:type="spellStart"/>
      <w:r w:rsidR="00C90CA1" w:rsidRPr="00C90CA1">
        <w:rPr>
          <w:rFonts w:ascii="Times New Roman" w:hAnsi="Times New Roman"/>
          <w:sz w:val="22"/>
          <w:szCs w:val="22"/>
        </w:rPr>
        <w:t>Leskovac</w:t>
      </w:r>
      <w:r w:rsidR="00686ACD" w:rsidRPr="00C90CA1">
        <w:rPr>
          <w:rFonts w:ascii="Times New Roman" w:hAnsi="Times New Roman"/>
          <w:sz w:val="22"/>
          <w:szCs w:val="22"/>
        </w:rPr>
        <w:t>in</w:t>
      </w:r>
      <w:proofErr w:type="spellEnd"/>
      <w:r w:rsidR="00686ACD" w:rsidRPr="00C90CA1">
        <w:rPr>
          <w:rFonts w:ascii="Times New Roman" w:hAnsi="Times New Roman"/>
          <w:sz w:val="22"/>
          <w:szCs w:val="22"/>
        </w:rPr>
        <w:t xml:space="preserve"> accordance with </w:t>
      </w:r>
      <w:r w:rsidRPr="00C90CA1">
        <w:rPr>
          <w:rFonts w:ascii="Times New Roman" w:hAnsi="Times New Roman"/>
          <w:sz w:val="22"/>
          <w:szCs w:val="22"/>
        </w:rPr>
        <w:t xml:space="preserve">the national legislation of </w:t>
      </w:r>
      <w:r w:rsidR="009A0E33" w:rsidRPr="00C90CA1">
        <w:rPr>
          <w:rFonts w:ascii="Times New Roman" w:hAnsi="Times New Roman"/>
          <w:sz w:val="22"/>
          <w:szCs w:val="22"/>
        </w:rPr>
        <w:t xml:space="preserve">the state of </w:t>
      </w:r>
      <w:r w:rsidRPr="00C90CA1">
        <w:rPr>
          <w:rFonts w:ascii="Times New Roman" w:hAnsi="Times New Roman"/>
          <w:sz w:val="22"/>
          <w:szCs w:val="22"/>
        </w:rPr>
        <w:t xml:space="preserve">the </w:t>
      </w:r>
      <w:r w:rsidR="00F60098" w:rsidRPr="00C90CA1">
        <w:rPr>
          <w:rFonts w:ascii="Times New Roman" w:hAnsi="Times New Roman"/>
          <w:sz w:val="22"/>
          <w:szCs w:val="22"/>
        </w:rPr>
        <w:t>c</w:t>
      </w:r>
      <w:r w:rsidRPr="00C90CA1">
        <w:rPr>
          <w:rFonts w:ascii="Times New Roman" w:hAnsi="Times New Roman"/>
          <w:sz w:val="22"/>
          <w:szCs w:val="22"/>
        </w:rPr>
        <w:t xml:space="preserve">ontracting </w:t>
      </w:r>
      <w:r w:rsidR="00F60098" w:rsidRPr="00C90CA1">
        <w:rPr>
          <w:rFonts w:ascii="Times New Roman" w:hAnsi="Times New Roman"/>
          <w:sz w:val="22"/>
          <w:szCs w:val="22"/>
        </w:rPr>
        <w:t>a</w:t>
      </w:r>
      <w:r w:rsidRPr="00C90CA1">
        <w:rPr>
          <w:rFonts w:ascii="Times New Roman" w:hAnsi="Times New Roman"/>
          <w:sz w:val="22"/>
          <w:szCs w:val="22"/>
        </w:rPr>
        <w:t>uthority.</w:t>
      </w:r>
    </w:p>
    <w:p w:rsidR="00407C90" w:rsidRPr="003D6B6C" w:rsidRDefault="00407C90" w:rsidP="00407C90">
      <w:pPr>
        <w:ind w:left="567" w:hanging="567"/>
        <w:rPr>
          <w:rFonts w:ascii="Times New Roman" w:hAnsi="Times New Roman"/>
          <w:sz w:val="22"/>
          <w:szCs w:val="22"/>
          <w:highlight w:val="yellow"/>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8"/>
      <w:footerReference w:type="default" r:id="rId9"/>
      <w:footerReference w:type="first" r:id="rId10"/>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4CF" w:rsidRPr="006A5F84" w:rsidRDefault="001C64CF">
      <w:r w:rsidRPr="006A5F84">
        <w:separator/>
      </w:r>
    </w:p>
  </w:endnote>
  <w:endnote w:type="continuationSeparator" w:id="1">
    <w:p w:rsidR="001C64CF" w:rsidRPr="006A5F84" w:rsidRDefault="001C64C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DC3F14"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DC3F14"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DC3F14" w:rsidRPr="009423FB">
      <w:rPr>
        <w:rStyle w:val="PageNumber"/>
        <w:rFonts w:ascii="Times New Roman" w:hAnsi="Times New Roman"/>
        <w:sz w:val="18"/>
        <w:szCs w:val="18"/>
      </w:rPr>
      <w:fldChar w:fldCharType="separate"/>
    </w:r>
    <w:r w:rsidR="00E5675C">
      <w:rPr>
        <w:rStyle w:val="PageNumber"/>
        <w:rFonts w:ascii="Times New Roman" w:hAnsi="Times New Roman"/>
        <w:noProof/>
        <w:sz w:val="18"/>
        <w:szCs w:val="18"/>
        <w:lang w:val="en-GB"/>
      </w:rPr>
      <w:t>1</w:t>
    </w:r>
    <w:r w:rsidR="00DC3F14"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DC3F14"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DC3F14" w:rsidRPr="009423FB">
      <w:rPr>
        <w:rStyle w:val="PageNumber"/>
        <w:rFonts w:ascii="Times New Roman" w:hAnsi="Times New Roman"/>
        <w:sz w:val="18"/>
        <w:szCs w:val="18"/>
      </w:rPr>
      <w:fldChar w:fldCharType="separate"/>
    </w:r>
    <w:r w:rsidR="00E5675C">
      <w:rPr>
        <w:rStyle w:val="PageNumber"/>
        <w:rFonts w:ascii="Times New Roman" w:hAnsi="Times New Roman"/>
        <w:noProof/>
        <w:sz w:val="18"/>
        <w:szCs w:val="18"/>
        <w:lang w:val="en-GB"/>
      </w:rPr>
      <w:t>4</w:t>
    </w:r>
    <w:r w:rsidR="00DC3F14" w:rsidRPr="009423FB">
      <w:rPr>
        <w:rStyle w:val="PageNumber"/>
        <w:rFonts w:ascii="Times New Roman" w:hAnsi="Times New Roman"/>
        <w:sz w:val="18"/>
        <w:szCs w:val="18"/>
      </w:rPr>
      <w:fldChar w:fldCharType="end"/>
    </w:r>
  </w:p>
  <w:p w:rsidR="00117ADA" w:rsidRPr="007E36E3" w:rsidRDefault="00DC3F14"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DC3F14"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4CF" w:rsidRPr="006A5F84" w:rsidRDefault="001C64CF">
      <w:r w:rsidRPr="006A5F84">
        <w:separator/>
      </w:r>
    </w:p>
  </w:footnote>
  <w:footnote w:type="continuationSeparator" w:id="1">
    <w:p w:rsidR="001C64CF" w:rsidRPr="006A5F84" w:rsidRDefault="001C64CF">
      <w:r w:rsidRPr="006A5F84">
        <w:continuationSeparator/>
      </w:r>
    </w:p>
  </w:footnote>
  <w:footnote w:id="2">
    <w:p w:rsidR="00297C14" w:rsidRPr="00C73F87" w:rsidRDefault="00297C14" w:rsidP="001020D9">
      <w:pPr>
        <w:pStyle w:val="FootnoteText"/>
        <w:rPr>
          <w:lang w:val="en-GB"/>
        </w:rPr>
      </w:pPr>
      <w:r w:rsidRPr="003D6B6C">
        <w:rPr>
          <w:rStyle w:val="FootnoteReference"/>
        </w:rPr>
        <w:footnoteRef/>
      </w:r>
      <w:r w:rsidRPr="00C73F87">
        <w:rPr>
          <w:lang w:val="en-GB"/>
        </w:rPr>
        <w:t xml:space="preserve">See </w:t>
      </w:r>
      <w:r w:rsidR="001F24F0" w:rsidRPr="001F24F0">
        <w:rPr>
          <w:lang w:val="en-GB"/>
        </w:rPr>
        <w:t>http://www.iccwbo.org/incoterms/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64CF"/>
    <w:rsid w:val="001C709F"/>
    <w:rsid w:val="001C75B0"/>
    <w:rsid w:val="001D0532"/>
    <w:rsid w:val="001D1EB9"/>
    <w:rsid w:val="001D20C7"/>
    <w:rsid w:val="001D2F5A"/>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1D5C"/>
    <w:rsid w:val="00317CB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57B6"/>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1AFA"/>
    <w:rsid w:val="00575CB0"/>
    <w:rsid w:val="005772F7"/>
    <w:rsid w:val="00582894"/>
    <w:rsid w:val="00583AA6"/>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0314A"/>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3210"/>
    <w:rsid w:val="00B17A53"/>
    <w:rsid w:val="00B207DB"/>
    <w:rsid w:val="00B22470"/>
    <w:rsid w:val="00B2499C"/>
    <w:rsid w:val="00B2529B"/>
    <w:rsid w:val="00B277E4"/>
    <w:rsid w:val="00B30528"/>
    <w:rsid w:val="00B3168E"/>
    <w:rsid w:val="00B327D3"/>
    <w:rsid w:val="00B34179"/>
    <w:rsid w:val="00B41E77"/>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0DC2"/>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A1"/>
    <w:rsid w:val="00C92434"/>
    <w:rsid w:val="00C94A76"/>
    <w:rsid w:val="00C95838"/>
    <w:rsid w:val="00CA1354"/>
    <w:rsid w:val="00CA3F76"/>
    <w:rsid w:val="00CA6C68"/>
    <w:rsid w:val="00CB1E66"/>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3F14"/>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48E"/>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675C"/>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54B9"/>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rsid w:val="00DC3F14"/>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DC3F14"/>
    <w:pPr>
      <w:keepNext/>
      <w:outlineLvl w:val="1"/>
    </w:pPr>
    <w:rPr>
      <w:lang w:val="fr-BE"/>
    </w:rPr>
  </w:style>
  <w:style w:type="paragraph" w:styleId="Heading3">
    <w:name w:val="heading 3"/>
    <w:basedOn w:val="Normal"/>
    <w:next w:val="Normal"/>
    <w:link w:val="Heading3Char"/>
    <w:qFormat/>
    <w:rsid w:val="00DC3F14"/>
    <w:pPr>
      <w:keepNext/>
      <w:framePr w:hSpace="181" w:vSpace="181" w:wrap="auto" w:vAnchor="text" w:hAnchor="text" w:y="1"/>
      <w:outlineLvl w:val="2"/>
    </w:pPr>
  </w:style>
  <w:style w:type="paragraph" w:styleId="Heading4">
    <w:name w:val="heading 4"/>
    <w:basedOn w:val="Normal"/>
    <w:next w:val="Normal"/>
    <w:link w:val="Heading4Char"/>
    <w:qFormat/>
    <w:rsid w:val="00DC3F14"/>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DC3F14"/>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DC3F14"/>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DC3F14"/>
    <w:pPr>
      <w:numPr>
        <w:ilvl w:val="6"/>
        <w:numId w:val="2"/>
      </w:numPr>
      <w:spacing w:before="240" w:after="60"/>
      <w:outlineLvl w:val="6"/>
    </w:pPr>
    <w:rPr>
      <w:lang w:val="sv-SE"/>
    </w:rPr>
  </w:style>
  <w:style w:type="paragraph" w:styleId="Heading8">
    <w:name w:val="heading 8"/>
    <w:basedOn w:val="Normal"/>
    <w:next w:val="Normal"/>
    <w:link w:val="Heading8Char"/>
    <w:qFormat/>
    <w:rsid w:val="00DC3F14"/>
    <w:pPr>
      <w:numPr>
        <w:ilvl w:val="7"/>
        <w:numId w:val="2"/>
      </w:numPr>
      <w:spacing w:before="240" w:after="60"/>
      <w:outlineLvl w:val="7"/>
    </w:pPr>
    <w:rPr>
      <w:i/>
      <w:lang w:val="sv-SE"/>
    </w:rPr>
  </w:style>
  <w:style w:type="paragraph" w:styleId="Heading9">
    <w:name w:val="heading 9"/>
    <w:basedOn w:val="Normal"/>
    <w:next w:val="Normal"/>
    <w:link w:val="Heading9Char"/>
    <w:qFormat/>
    <w:rsid w:val="00DC3F14"/>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C3F14"/>
    <w:pPr>
      <w:jc w:val="center"/>
    </w:pPr>
    <w:rPr>
      <w:b/>
      <w:sz w:val="28"/>
      <w:lang w:val="fr-BE"/>
    </w:rPr>
  </w:style>
  <w:style w:type="paragraph" w:styleId="Subtitle">
    <w:name w:val="Subtitle"/>
    <w:basedOn w:val="Normal"/>
    <w:link w:val="SubtitleChar"/>
    <w:qFormat/>
    <w:rsid w:val="00DC3F14"/>
    <w:pPr>
      <w:jc w:val="center"/>
    </w:pPr>
    <w:rPr>
      <w:b/>
      <w:sz w:val="28"/>
      <w:lang w:val="fr-BE"/>
    </w:rPr>
  </w:style>
  <w:style w:type="paragraph" w:styleId="BodyTextIndent">
    <w:name w:val="Body Text Indent"/>
    <w:basedOn w:val="Normal"/>
    <w:link w:val="BodyTextIndentChar"/>
    <w:rsid w:val="00DC3F14"/>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DC3F14"/>
    <w:rPr>
      <w:lang w:val="sv-SE"/>
    </w:rPr>
  </w:style>
  <w:style w:type="paragraph" w:styleId="BodyTextIndent2">
    <w:name w:val="Body Text Indent 2"/>
    <w:basedOn w:val="Normal"/>
    <w:link w:val="BodyTextIndent2Char"/>
    <w:rsid w:val="00DC3F14"/>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DC3F14"/>
    <w:pPr>
      <w:tabs>
        <w:tab w:val="left" w:pos="1276"/>
      </w:tabs>
      <w:ind w:left="1276" w:hanging="425"/>
      <w:jc w:val="both"/>
    </w:pPr>
    <w:rPr>
      <w:sz w:val="24"/>
      <w:lang w:val="sv-SE"/>
    </w:rPr>
  </w:style>
  <w:style w:type="paragraph" w:customStyle="1" w:styleId="Text3">
    <w:name w:val="Text 3"/>
    <w:basedOn w:val="Normal"/>
    <w:rsid w:val="00DC3F14"/>
    <w:pPr>
      <w:tabs>
        <w:tab w:val="left" w:pos="2302"/>
      </w:tabs>
      <w:spacing w:after="240"/>
      <w:ind w:left="1202"/>
      <w:jc w:val="both"/>
    </w:pPr>
    <w:rPr>
      <w:sz w:val="24"/>
    </w:rPr>
  </w:style>
  <w:style w:type="paragraph" w:styleId="Header">
    <w:name w:val="header"/>
    <w:basedOn w:val="Normal"/>
    <w:link w:val="HeaderChar"/>
    <w:rsid w:val="00DC3F14"/>
    <w:pPr>
      <w:tabs>
        <w:tab w:val="center" w:pos="4320"/>
        <w:tab w:val="right" w:pos="8640"/>
      </w:tabs>
    </w:pPr>
    <w:rPr>
      <w:lang w:val="sv-SE"/>
    </w:rPr>
  </w:style>
  <w:style w:type="paragraph" w:styleId="Footer">
    <w:name w:val="footer"/>
    <w:basedOn w:val="Normal"/>
    <w:link w:val="FooterChar"/>
    <w:uiPriority w:val="99"/>
    <w:rsid w:val="00DC3F14"/>
    <w:pPr>
      <w:tabs>
        <w:tab w:val="center" w:pos="4320"/>
        <w:tab w:val="right" w:pos="8640"/>
      </w:tabs>
    </w:pPr>
    <w:rPr>
      <w:lang w:val="sv-SE"/>
    </w:rPr>
  </w:style>
  <w:style w:type="character" w:styleId="PageNumber">
    <w:name w:val="page number"/>
    <w:basedOn w:val="DefaultParagraphFont"/>
    <w:rsid w:val="00DC3F14"/>
  </w:style>
  <w:style w:type="paragraph" w:styleId="BodyText3">
    <w:name w:val="Body Text 3"/>
    <w:basedOn w:val="Normal"/>
    <w:link w:val="BodyText3Char"/>
    <w:rsid w:val="00DC3F1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C3F14"/>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C3F14"/>
    <w:rPr>
      <w:vertAlign w:val="superscript"/>
    </w:rPr>
  </w:style>
  <w:style w:type="paragraph" w:styleId="DocumentMap">
    <w:name w:val="Document Map"/>
    <w:basedOn w:val="Normal"/>
    <w:link w:val="DocumentMapChar"/>
    <w:semiHidden/>
    <w:rsid w:val="00DC3F14"/>
    <w:pPr>
      <w:shd w:val="clear" w:color="auto" w:fill="000080"/>
    </w:pPr>
    <w:rPr>
      <w:sz w:val="24"/>
      <w:lang w:val="fr-FR"/>
    </w:rPr>
  </w:style>
  <w:style w:type="paragraph" w:customStyle="1" w:styleId="bulletsub">
    <w:name w:val="bullet_sub"/>
    <w:basedOn w:val="Normal"/>
    <w:rsid w:val="00DC3F1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DC3F14"/>
    <w:pPr>
      <w:spacing w:after="240"/>
      <w:jc w:val="center"/>
    </w:pPr>
    <w:rPr>
      <w:b/>
      <w:sz w:val="40"/>
    </w:rPr>
  </w:style>
  <w:style w:type="paragraph" w:customStyle="1" w:styleId="SubTitle2">
    <w:name w:val="SubTitle 2"/>
    <w:basedOn w:val="Normal"/>
    <w:rsid w:val="00DC3F14"/>
    <w:pPr>
      <w:spacing w:after="240"/>
      <w:jc w:val="center"/>
    </w:pPr>
    <w:rPr>
      <w:b/>
      <w:sz w:val="32"/>
    </w:rPr>
  </w:style>
  <w:style w:type="paragraph" w:customStyle="1" w:styleId="Annexetitle">
    <w:name w:val="Annexe_title"/>
    <w:basedOn w:val="Heading1"/>
    <w:next w:val="Normal"/>
    <w:autoRedefine/>
    <w:rsid w:val="00DC3F14"/>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DC3F14"/>
    <w:pPr>
      <w:keepNext/>
      <w:widowControl w:val="0"/>
      <w:tabs>
        <w:tab w:val="num" w:pos="992"/>
      </w:tabs>
      <w:ind w:left="992" w:hanging="992"/>
    </w:pPr>
    <w:rPr>
      <w:b/>
      <w:sz w:val="18"/>
      <w:lang w:val="fr-FR"/>
    </w:rPr>
  </w:style>
  <w:style w:type="paragraph" w:customStyle="1" w:styleId="titlefront">
    <w:name w:val="title_front"/>
    <w:basedOn w:val="Normal"/>
    <w:rsid w:val="00DC3F14"/>
    <w:pPr>
      <w:spacing w:before="240"/>
      <w:ind w:left="1701"/>
      <w:jc w:val="right"/>
    </w:pPr>
    <w:rPr>
      <w:rFonts w:ascii="Optima" w:hAnsi="Optima"/>
      <w:b/>
      <w:sz w:val="28"/>
    </w:rPr>
  </w:style>
  <w:style w:type="paragraph" w:styleId="TOC1">
    <w:name w:val="toc 1"/>
    <w:basedOn w:val="Normal"/>
    <w:next w:val="Normal"/>
    <w:autoRedefine/>
    <w:semiHidden/>
    <w:rsid w:val="00DC3F1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C3F14"/>
    <w:pPr>
      <w:spacing w:before="0" w:after="0"/>
      <w:ind w:left="200"/>
    </w:pPr>
    <w:rPr>
      <w:rFonts w:ascii="Times New Roman" w:hAnsi="Times New Roman"/>
      <w:smallCaps/>
    </w:rPr>
  </w:style>
  <w:style w:type="character" w:styleId="Strong">
    <w:name w:val="Strong"/>
    <w:qFormat/>
    <w:rsid w:val="00DC3F14"/>
    <w:rPr>
      <w:b/>
    </w:rPr>
  </w:style>
  <w:style w:type="paragraph" w:customStyle="1" w:styleId="Blockquote">
    <w:name w:val="Blockquote"/>
    <w:basedOn w:val="Normal"/>
    <w:rsid w:val="00DC3F14"/>
    <w:pPr>
      <w:widowControl w:val="0"/>
      <w:spacing w:before="100" w:after="100"/>
      <w:ind w:left="360" w:right="360"/>
    </w:pPr>
    <w:rPr>
      <w:sz w:val="24"/>
      <w:lang w:val="en-US"/>
    </w:rPr>
  </w:style>
  <w:style w:type="paragraph" w:styleId="TOC3">
    <w:name w:val="toc 3"/>
    <w:basedOn w:val="Normal"/>
    <w:next w:val="Normal"/>
    <w:autoRedefine/>
    <w:semiHidden/>
    <w:rsid w:val="00DC3F14"/>
    <w:pPr>
      <w:spacing w:before="0" w:after="0"/>
      <w:ind w:left="400"/>
    </w:pPr>
    <w:rPr>
      <w:rFonts w:ascii="Times New Roman" w:hAnsi="Times New Roman"/>
      <w:i/>
    </w:rPr>
  </w:style>
  <w:style w:type="paragraph" w:styleId="TOC4">
    <w:name w:val="toc 4"/>
    <w:basedOn w:val="Normal"/>
    <w:next w:val="Normal"/>
    <w:autoRedefine/>
    <w:semiHidden/>
    <w:rsid w:val="00DC3F14"/>
    <w:pPr>
      <w:spacing w:before="0" w:after="0"/>
      <w:ind w:left="600"/>
    </w:pPr>
    <w:rPr>
      <w:rFonts w:ascii="Times New Roman" w:hAnsi="Times New Roman"/>
      <w:sz w:val="18"/>
    </w:rPr>
  </w:style>
  <w:style w:type="paragraph" w:styleId="TOC5">
    <w:name w:val="toc 5"/>
    <w:basedOn w:val="Normal"/>
    <w:next w:val="Normal"/>
    <w:autoRedefine/>
    <w:semiHidden/>
    <w:rsid w:val="00DC3F14"/>
    <w:pPr>
      <w:spacing w:before="0" w:after="0"/>
      <w:ind w:left="800"/>
    </w:pPr>
    <w:rPr>
      <w:rFonts w:ascii="Times New Roman" w:hAnsi="Times New Roman"/>
      <w:sz w:val="18"/>
    </w:rPr>
  </w:style>
  <w:style w:type="paragraph" w:styleId="TOC6">
    <w:name w:val="toc 6"/>
    <w:basedOn w:val="Normal"/>
    <w:next w:val="Normal"/>
    <w:autoRedefine/>
    <w:semiHidden/>
    <w:rsid w:val="00DC3F14"/>
    <w:pPr>
      <w:spacing w:before="0" w:after="0"/>
      <w:ind w:left="1000"/>
    </w:pPr>
    <w:rPr>
      <w:rFonts w:ascii="Times New Roman" w:hAnsi="Times New Roman"/>
      <w:sz w:val="18"/>
    </w:rPr>
  </w:style>
  <w:style w:type="paragraph" w:styleId="TOC7">
    <w:name w:val="toc 7"/>
    <w:basedOn w:val="Normal"/>
    <w:next w:val="Normal"/>
    <w:autoRedefine/>
    <w:semiHidden/>
    <w:rsid w:val="00DC3F14"/>
    <w:pPr>
      <w:spacing w:before="0" w:after="0"/>
      <w:ind w:left="1200"/>
    </w:pPr>
    <w:rPr>
      <w:rFonts w:ascii="Times New Roman" w:hAnsi="Times New Roman"/>
      <w:sz w:val="18"/>
    </w:rPr>
  </w:style>
  <w:style w:type="paragraph" w:styleId="TOC8">
    <w:name w:val="toc 8"/>
    <w:basedOn w:val="Normal"/>
    <w:next w:val="Normal"/>
    <w:autoRedefine/>
    <w:semiHidden/>
    <w:rsid w:val="00DC3F14"/>
    <w:pPr>
      <w:spacing w:before="0" w:after="0"/>
      <w:ind w:left="1400"/>
    </w:pPr>
    <w:rPr>
      <w:rFonts w:ascii="Times New Roman" w:hAnsi="Times New Roman"/>
      <w:sz w:val="18"/>
    </w:rPr>
  </w:style>
  <w:style w:type="paragraph" w:styleId="TOC9">
    <w:name w:val="toc 9"/>
    <w:basedOn w:val="Normal"/>
    <w:next w:val="Normal"/>
    <w:autoRedefine/>
    <w:semiHidden/>
    <w:rsid w:val="00DC3F14"/>
    <w:pPr>
      <w:spacing w:before="0" w:after="0"/>
      <w:ind w:left="1600"/>
    </w:pPr>
    <w:rPr>
      <w:rFonts w:ascii="Times New Roman" w:hAnsi="Times New Roman"/>
      <w:sz w:val="18"/>
    </w:rPr>
  </w:style>
  <w:style w:type="character" w:styleId="FollowedHyperlink">
    <w:name w:val="FollowedHyperlink"/>
    <w:rsid w:val="00DC3F14"/>
    <w:rPr>
      <w:color w:val="800080"/>
      <w:u w:val="single"/>
    </w:rPr>
  </w:style>
  <w:style w:type="paragraph" w:customStyle="1" w:styleId="Style2">
    <w:name w:val="Style2"/>
    <w:basedOn w:val="Style1"/>
    <w:rsid w:val="00DC3F14"/>
    <w:pPr>
      <w:tabs>
        <w:tab w:val="clear" w:pos="992"/>
        <w:tab w:val="num" w:pos="2091"/>
      </w:tabs>
      <w:ind w:left="2977"/>
      <w:jc w:val="both"/>
    </w:pPr>
  </w:style>
  <w:style w:type="paragraph" w:customStyle="1" w:styleId="text">
    <w:name w:val="text"/>
    <w:rsid w:val="00DC3F14"/>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DC3F14"/>
    <w:pPr>
      <w:widowControl w:val="0"/>
      <w:spacing w:before="0" w:after="0" w:line="360" w:lineRule="exact"/>
      <w:jc w:val="center"/>
    </w:pPr>
    <w:rPr>
      <w:b/>
      <w:sz w:val="32"/>
      <w:lang w:val="cs-CZ"/>
    </w:rPr>
  </w:style>
  <w:style w:type="paragraph" w:customStyle="1" w:styleId="ManualNumPar1">
    <w:name w:val="Manual NumPar 1"/>
    <w:basedOn w:val="Normal"/>
    <w:next w:val="Normal"/>
    <w:rsid w:val="00DC3F14"/>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03113-E775-48C3-9ED2-CFCB6D401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Pages>
  <Words>1100</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7220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sdodic</cp:lastModifiedBy>
  <cp:revision>18</cp:revision>
  <cp:lastPrinted>2014-02-11T14:32:00Z</cp:lastPrinted>
  <dcterms:created xsi:type="dcterms:W3CDTF">2018-12-18T11:40:00Z</dcterms:created>
  <dcterms:modified xsi:type="dcterms:W3CDTF">2021-04-27T11:33:00Z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